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eastAsia="ru-RU"/>
        </w:rPr>
        <w:t xml:space="preserve">РЕКОМЕНДАЦИИ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ПОДАЧЕ ЗАЯВКИ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 ПРЕДОСТАВЛЕНИИ ПРАВА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ПОЛЬЗОВАНИЯ УЧАСТКАМИ НЕДР, РАСПОЛОЖЕННЫМИ НА ТЕРРИТОРИЯХ ДОНЕЦКОЙ НАРОДНОЙ РЕСПУБЛИКИ, ЛУГАНСКОЙ НАРОДНОЙ РЕСПУБЛИКИ, ЗАПОРОЖСКОЙ ОБЛАСТИ И ХЕРСОНСКОЙ ОБЛАСТИ</w:t>
      </w:r>
    </w:p>
    <w:p>
      <w:pPr>
        <w:widowControl w:val="off"/>
        <w:spacing w:after="0" w:line="240" w:lineRule="auto"/>
        <w:ind w:firstLine="709"/>
        <w:jc w:val="center"/>
        <w:outlineLvl w:val="1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center"/>
        <w:outlineLvl w:val="1"/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</w:pPr>
    </w:p>
    <w:p>
      <w:pPr>
        <w:widowControl w:val="off"/>
        <w:numPr>
          <w:numId w:val="5"/>
          <w:ilvl w:val="0"/>
        </w:numPr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Общие положения</w:t>
      </w:r>
    </w:p>
    <w:p>
      <w:pPr>
        <w:widowControl w:val="off"/>
        <w:spacing w:after="0" w:line="240" w:lineRule="auto"/>
        <w:ind w:firstLine="709"/>
        <w:contextualSpacing/>
        <w:outlineLvl w:val="1"/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</w:pP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рекомендации разработаны в рамках реализации требований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Правил обращения пользователей недр на участках недр, расположенных на территориях Донецкой Народной Республики, Луганской Народной Республики, Запорожской области и Херсонской области, с заявками о предоставлении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пользования участками недр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расположенными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утвержденных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Правительства Российской Федерации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 17.02.2023 № 256 (далее – Правила).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указанных Правил подлежат представлению заявки в отношении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участков недр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расположенных в ДНР, ЛНР,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Запорожской области и Херсонской области, и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предоставленных в пользование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документами, выданными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государственными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 и иными официальными органами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Украины, государственными и иными официальными органами ДНР, ЛНР, Запорожской области и Херсонской области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до дня вступления федеральных конституционных законов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04.10.2022 № 5-ФКЗ, № 6-ФКЗ, № 7-ФКЗ, № 8-ФКЗ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разрешительные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документы)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Заявки должны быть поданы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до 01.01.2025.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Заявки подаются: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а) в Федеральное агентство по недропользованию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в отношении участков недр, не являющихся участками недр местного значения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б) в органы государственной власти Донецкой Народной Республики, Луганской Народной Республики, Запорожск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ой области и Херсонской области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в отношении участков недр местного значения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К участкам недр мес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тного значения в соответствии со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ст. 2.3 Закона Российской Федерации от 21.02.1992 № 2395-1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«О недрах»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относятся: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1) участки недр, содержащие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общераспространенные полезные ископаемые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i/>
          <w:color w:val="000000"/>
          <w:sz w:val="24"/>
          <w:szCs w:val="24"/>
          <w:lang w:eastAsia="ru-RU"/>
        </w:rPr>
        <w:t xml:space="preserve">Примечание: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в настоящее врем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перечни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общераспространенных полезных ископаемых утвержден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MS Mincho" w:cs="Times New Roman"/>
          <w:b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MS Mincho" w:cs="Times New Roman"/>
          <w:b/>
          <w:color w:val="000000"/>
          <w:sz w:val="24"/>
          <w:szCs w:val="24"/>
          <w:lang w:eastAsia="ru-RU"/>
        </w:rPr>
        <w:t xml:space="preserve">Донецкой Народной Республике (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постановление Минприроды России и Правительства Донецкой Народной Республики от 20.07.2023 № 2-П/57-5), </w:t>
      </w:r>
      <w:r>
        <w:rPr>
          <w:rFonts w:ascii="Times New Roman" w:hAnsi="Times New Roman" w:eastAsia="MS Mincho" w:cs="Times New Roman"/>
          <w:b/>
          <w:color w:val="000000"/>
          <w:sz w:val="24"/>
          <w:szCs w:val="24"/>
          <w:lang w:eastAsia="ru-RU"/>
        </w:rPr>
        <w:t xml:space="preserve">по Запорожской области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 (постановление Минприроды России и Правительства Запорожской области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от 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26.06.2023 №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1-П/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111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ru-RU"/>
        </w:rPr>
        <w:t xml:space="preserve">)).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2) участки недр, используемые для геологического изучения и оценки пригодности участков недр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для строительства и эксплуатации подземных сооружений местного и регионального значения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ископаемых),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3) участки недр, содержащие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подземные воды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, которые используются для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целей питьевого и хозяйственно-бытового водоснабжения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питьевое водоснабжение) или технического водоснабжения и объем добычи которых составляет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не более 500 кубических метров в сутки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, а также для целей питьевого водоснабжения или технического водоснабжения садоводческих некоммерческих товариществ и (или) огородничес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ких некоммерческих товариществ.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Заявки могут подаваться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лично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почтовым отправлением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val="en-US" w:eastAsia="ru-RU"/>
        </w:rPr>
        <w:t xml:space="preserve">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электронной почты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Форма подачи заявки: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бумажный носитель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электронный носитель</w:t>
      </w:r>
      <w:r>
        <w:t xml:space="preserve">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(оптический диск CD или диск DVD, внешний USB-накопитель или SSD-накопитель)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с документами, подписанными электронной подписью;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MS Mincho" w:cs="Times New Roman"/>
          <w:b/>
          <w:color w:val="000000"/>
          <w:sz w:val="28"/>
          <w:szCs w:val="28"/>
          <w:lang w:eastAsia="ru-RU"/>
        </w:rPr>
        <w:t xml:space="preserve">электронные документы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, подписанные электронной подписью.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Требования к составу заявки и прилагаемым материалам установлены п.п. 4, 5 Правил.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Форма заявки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рекомендации по формированию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комплекта заявочных материалов,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прилагаем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заявке,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представлены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настоящим рекомендациям.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 отсутствия сведений, предусмотренных пп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«б»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д», «з»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п. 5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обязательное приложение документ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подписанн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уполномоченным лицом,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содержащ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пояснения об отсутствии указанных сведений, либо о причинах 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непредставления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Основаниями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отказа в приеме заявки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срок действия документа истек на день подачи заявки;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заявка подана по истечении срока (1 января 2025 года)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numPr>
          <w:numId w:val="4"/>
          <w:ilvl w:val="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Основаниями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для отказа в предоставлении права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участками недр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заявитель представил недостоверные сведения;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наличие угрозы обороне страны и безопасности государства в случае предоставления права пользования участками недр.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r>
        <w:br w:type="page" w:clear="all"/>
      </w:r>
    </w:p>
    <w:p>
      <w:pPr>
        <w:widowControl w:val="off"/>
        <w:spacing w:after="0" w:line="240" w:lineRule="auto"/>
        <w:ind w:left="709"/>
        <w:jc w:val="right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sectPr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off"/>
        <w:spacing w:after="0" w:line="240" w:lineRule="auto"/>
        <w:ind w:left="709"/>
        <w:jc w:val="right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Приложение № 1</w:t>
      </w:r>
    </w:p>
    <w:p>
      <w:pPr>
        <w:widowControl w:val="off"/>
        <w:spacing w:after="0" w:line="240" w:lineRule="auto"/>
        <w:ind w:left="709"/>
        <w:jc w:val="right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5593" w:type="dxa"/>
        <w:tblInd w:w="-289" w:type="dxa"/>
        <w:tblLook w:val="04A0" w:firstRow="1" w:lastRow="0" w:firstColumn="1" w:lastColumn="0" w:noHBand="0" w:noVBand="1"/>
      </w:tblPr>
      <w:tblGrid>
        <w:gridCol w:w="1123"/>
        <w:gridCol w:w="3376"/>
        <w:gridCol w:w="4478"/>
        <w:gridCol w:w="6616"/>
      </w:tblGrid>
      <w:tr>
        <w:trPr>
          <w:trHeight w:val="561"/>
        </w:trPr>
        <w:tc>
          <w:tcPr>
            <w:tcW w:w="113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№</w:t>
            </w:r>
          </w:p>
        </w:tc>
        <w:tc>
          <w:tcPr>
            <w:tcW w:w="3403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Документ</w:t>
            </w:r>
          </w:p>
        </w:tc>
        <w:tc>
          <w:tcPr>
            <w:tcW w:w="4548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Требования</w:t>
            </w:r>
          </w:p>
        </w:tc>
        <w:tc>
          <w:tcPr>
            <w:tcW w:w="650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Комментарий</w:t>
            </w:r>
          </w:p>
        </w:tc>
      </w:tr>
      <w:tr>
        <w:trPr>
          <w:trHeight w:val="561"/>
        </w:trPr>
        <w:tc>
          <w:tcPr>
            <w:tcW w:w="15593" w:type="dxa"/>
            <w:gridSpan w:val="4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Общие требования к заявке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3403" w:type="dxa"/>
          </w:tcPr>
          <w:p>
            <w:pPr>
              <w:ind w:firstLine="311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(п. 4 Правил)</w:t>
            </w:r>
          </w:p>
        </w:tc>
        <w:tc>
          <w:tcPr>
            <w:tcW w:w="4548" w:type="dxa"/>
          </w:tcPr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Заявка должна содержать: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Для юридических лиц: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полное или сокращенное наименование заявителя;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 в пределах места нахождения;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 электронной почты заявителя, контактный номер телефона (при наличии);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ИНН,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КПП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номер и дату государственной регистрации документов;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данные о целевом назначении работ, связанных с пользованием участками недр.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Для индивидуальных предпринимателей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: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фамилию, имя, отчество заявителя, данные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документа, удостоверяющего личность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 по месту пребывания либо по месту жительства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электронной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почты заявителя, контактный номер телефона (при наличии);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ОГРНИП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ИНН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номер и дату государственной регистрации документов;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данные о целевом назначении работ, связанных с пользованием участками недр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6507" w:type="dxa"/>
          </w:tcPr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отношении пп. «ж» п. 4 Правил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номер и дат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государственной регистрации документов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отмечаем, что необходимо указать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именно реквизиты действующих разрешительных документов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выданных государственными и иными официальными органами Украины, государственными и иными официальными органами Донецкой Народной Республики, Луганской Народной Республики, Запорожской области и Херсонской области до дня вступления в силу федеральных конституционных законов №№ 5-8-ФКЗ.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Пример разрешительных документов – лицензия, специальное разрешение на пользование недрами (спец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альний дозв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 на користування надрами), патент.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Разрешительные документы должны быть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выданы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отношении лиц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явл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ющегося заявителем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Разрешительные документы должны соответ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вовать требованиям нормативных правовых актов, действовавших до дня вступления в силу федеральных конституционных законов №№ 5-8-ФКЗ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</w:tc>
      </w:tr>
      <w:tr>
        <w:trPr>
          <w:trHeight w:val="561"/>
        </w:trPr>
        <w:tc>
          <w:tcPr>
            <w:tcW w:w="15593" w:type="dxa"/>
            <w:gridSpan w:val="4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4"/>
              </w:rPr>
              <w:t xml:space="preserve">Прилагаемые документы к заявке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403" w:type="dxa"/>
          </w:tcPr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Перечень лиц, входящих в одну с заявителем группу лиц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состо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янию на дату направления заявки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(пп. «а» п.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5 Правил).</w:t>
            </w:r>
          </w:p>
        </w:tc>
        <w:tc>
          <w:tcPr>
            <w:tcW w:w="4548" w:type="dxa"/>
          </w:tcPr>
          <w:p>
            <w:pPr>
              <w:ind w:firstLine="459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Перечень лиц, входящих в одну группу лиц с заявителем - юридическим лицом,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строго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по форме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утвержденной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приказом Федеральной антимонопольной служб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от 20.11.2006 № 293.</w:t>
            </w:r>
          </w:p>
          <w:p>
            <w:pPr>
              <w:ind w:firstLine="459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подачи заявки на бумажном носителе, перечень 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редставляется на бумажном и электронном носителях в виде электронн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ой таблицы и графического файла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с указанием оснований, по которым 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кие лица составляют группу лиц.</w:t>
            </w:r>
          </w:p>
        </w:tc>
        <w:tc>
          <w:tcPr>
            <w:tcW w:w="6507" w:type="dxa"/>
          </w:tcPr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1) Группой лиц признается совокупность физических лиц и (или) юридических лиц, соответствующих одному или нескольким признакам, установленным ст. 9 Федерального закона от 26.07.2006 № 135-ФЗ «О защите конкуренции» (далее –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Закон о защите конкуренции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2) Правильность внесения данных можно соотнести с помощью сервисов ФНС России. Например, получить краткие сведения из ЕГРЮЛ в режиме онлайн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https://egrul.nalog.ru/index.html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3) В перечне лиц отражаются сведения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по состоянию на дату направления заявки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и с указанием даты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формирования перечня лиц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В отношении ГУП, МУП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перечень лиц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входящих в одну с заявителем группу лиц,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подлежит обязательному представлению, поскольку указанные предприятия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соответствии с гражданским законодательством являются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юридическим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Например, заполнению подлежат сведения, непосредственно относящиеся к управлению унитарными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предприятиями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сведения о директоре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Для каждого физического и юридического лица указываются все основания, по которым такие лица входят в группу лиц.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аждое основание указывается отдельной строкой.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В перечне подлежат указанию коды оснований, соответствующие кодам 1 – 7, 9, указанным в ч. 1 ст. 9 Закона о защите конкуренции. Указание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 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 допускается.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Отмечаем, по коду основания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9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не подлежат включению в перечень лица, имеющие менее 50% голосующих акций (долей) в уставном (складочном) капитале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заявителя - хозяйственного общества (товарищества, хозяйственного партнерства)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К перечню лиц, входящих в одну группу, прилагается схематическое изображение группы лиц. 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сведениях, содержащихся в перечне лиц, входящих в одну группу, и схематическом изображении группы лиц не должно быть расхождений.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2</w:t>
            </w:r>
          </w:p>
        </w:tc>
        <w:tc>
          <w:tcPr>
            <w:tcW w:w="3403" w:type="dxa"/>
          </w:tcPr>
          <w:p>
            <w:pPr>
              <w:ind w:firstLine="31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Перечень лиц: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которым принадлежит (принадлежало) право прямо или косвенно распоряжаться более чем 5 процентами долей (акций) в уставном капитале заявителя на дату направления заявки;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прямо или косвенно контролирующих заявителя на дату направления заявки, с указанием контролирующих лиц и их бенефициарных владельцев (конечных выгодоприобретателей) (в понимании ст. 3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(далее – Федеральный закон № 115-ФЗ)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(пп. «б» п. 5 Правил)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.</w:t>
            </w:r>
          </w:p>
        </w:tc>
        <w:tc>
          <w:tcPr>
            <w:tcW w:w="4548" w:type="dxa"/>
          </w:tcPr>
          <w:p>
            <w:pPr>
              <w:ind w:firstLine="4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Перечень лиц должен соде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месте нахождения и контактной информации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включенных в перечень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лиц.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случае если бенефициарным владельцем (конечным выгодоприобретателем) лица, контролирующего заявителя, является на момент подачи заявки гражданин Российской Федерации, необходимо указать информацию о наличии (отсутствии) у него иного гражданства, кроме гражданства Российской Федерации, а также о том, что он является налоговым резидентом Российской Федерации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Такая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информация указывается на период, когда гражданин Российской Федерации являлся бенефициарным владельцем, 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представляется в форме собственноручно подписанного заявления либо заявления, подписанного уполномоченными представителями,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приложением заверенных копий доверенностей на право подавать такие заявления и копий паспортов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уполномоченных представителей.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6507" w:type="dxa"/>
          </w:tcPr>
          <w:p>
            <w:pPr>
              <w:pStyle w:val="a4"/>
              <w:numPr>
                <w:numId w:val="6"/>
                <w:ilvl w:val="0"/>
              </w:numPr>
              <w:ind w:left="0" w:firstLine="31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ыгодоприобретатель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лицо, к выгоде которого действует клиент,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(абз. 12 ст. 3 Федерального закона № 115-ФЗ).</w:t>
            </w:r>
          </w:p>
          <w:p>
            <w:pPr>
              <w:pStyle w:val="a4"/>
              <w:numPr>
                <w:numId w:val="6"/>
                <w:ilvl w:val="0"/>
              </w:numPr>
              <w:ind w:left="0" w:firstLine="31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енефициарный владелец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капитале) клиентом - юридическим лицом либо имеет возможность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контролировать действия клиента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(абз. 13 ст. 3 Федерального закона № 115-ФЗ)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pStyle w:val="a4"/>
              <w:numPr>
                <w:numId w:val="6"/>
                <w:ilvl w:val="0"/>
              </w:numPr>
              <w:ind w:left="0" w:firstLine="31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ицо, прямо или косвенно контролирующее клиента (выгодоприобретателя)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капитале) клиентом (выгодоприобретателем) либо имеет возможность контролировать действия клиента (выгодоприобретателя). </w:t>
            </w:r>
          </w:p>
          <w:p>
            <w:pPr>
              <w:pStyle w:val="a4"/>
              <w:ind w:left="0" w:firstLine="31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Лицом, прямо или косвенно контролирующим клиента (выгодоприобретателя) - физическое лицо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считается само это лицо, за исключением случаев, если имеются основания полагать, что существуют иные физические лица, прямо или косвенно контролирующие клиента (выгодоп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риобретателя) - физическое лицо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(п. 7 ст. 142.1 ч. 1 Налогового кодекса Российской Федерации)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pStyle w:val="a4"/>
              <w:numPr>
                <w:numId w:val="6"/>
                <w:ilvl w:val="0"/>
              </w:numPr>
              <w:ind w:left="0" w:firstLine="3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Должны быть представлены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собственноручно подписанные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либо заявлени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подписанн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уполномоченными представителями, с приложением заверенных копий доверенностей на право подавать такие заявления и копий паспортов уполномоченных представителей.</w:t>
            </w:r>
          </w:p>
          <w:p>
            <w:pPr>
              <w:pStyle w:val="a4"/>
              <w:numPr>
                <w:numId w:val="6"/>
                <w:ilvl w:val="0"/>
              </w:numPr>
              <w:ind w:left="0" w:firstLine="318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отсутствия указанных перечней лиц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составе заявки также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быть представлены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пояснения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 причине непредставления вышеуказанных документов и сведений.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ример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согласно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ст. 113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ГК РФ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ст. 2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Федеральн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14.11.2002 №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161-ФЗ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 государственных и муниципальных унитарных предприятия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нитарным предприятием признается коммерческая организация,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не наделенная правом собственности на закрепленное за ней собственником имущество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Имущество государственного или муниципального унитарного предприятия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находится в государственной или муниципальной собственности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принадлежит такому предприятию на праве хозяйственного ведения или оперативного управления.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Имущество унитарного предприятия является неделимым 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не может быть распределено по вкладам (долям, паям),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том числ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 между работниками предприятия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3</w:t>
            </w:r>
          </w:p>
        </w:tc>
        <w:tc>
          <w:tcPr>
            <w:tcW w:w="3403" w:type="dxa"/>
          </w:tcPr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Информация о временной передаче учредителем (участником) заявителя права распоряжения долями (акциями) заявителя иному лицу на основании договора доверительного управления имуществом, договора залога, договора репо, обеспечительного платежа, иного соглашения или сделки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(пп. «в» п. 5 Правил).</w:t>
            </w:r>
          </w:p>
        </w:tc>
        <w:tc>
          <w:tcPr>
            <w:tcW w:w="4548" w:type="dxa"/>
          </w:tcPr>
          <w:p>
            <w:pPr>
              <w:ind w:firstLine="562"/>
              <w:contextualSpacing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7" w:type="dxa"/>
          </w:tcPr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В представляемом документе необходимо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отразить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наименования или персональные данные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лица,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 идентификационный номер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налогоплательщика, мес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то нахождение и контактную информацию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отсутствия информации о временной передаче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быть представлены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пояснения 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 отсутствии передачи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такого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распоряжения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4</w:t>
            </w:r>
          </w:p>
        </w:tc>
        <w:tc>
          <w:tcPr>
            <w:tcW w:w="3403" w:type="dxa"/>
          </w:tcPr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Информация о поступлении уведомления заявителю в соответствии с ч.  3 ст. 8 Федерального закона от 08.02.1998 № 14-ФЗ «Об обществах с ограниченной ответственностью» о заключении на дату направления заявки договора между учредителями (участниками) заявителя об осуществлении прав участников общества, по которому они обязуются осуществлять определенным образом свои права и (или) воздерживаться (отказываться) от осуществления указанных прав, в том числе голосовать определенным образом на общем собрании участников общества, согласовывать вариант голосования с другими участниками, продавать доли или часть долей по определенной данным договором цене и (или) при наступлении определенных обстоятельств либо воздерживаться (отказываться) от отчуждения долей или частей долей до наступления определенных обстоятельств, а также осуществлять согласованно иные действия, связанные с управлением заявителем, с созданием, деятельностью, реорганизацией и ликвидацией заявителя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(пп. «г» п. 5 Правил)</w:t>
            </w:r>
          </w:p>
        </w:tc>
        <w:tc>
          <w:tcPr>
            <w:tcW w:w="4548" w:type="dxa"/>
          </w:tcPr>
          <w:p>
            <w:pPr>
              <w:ind w:firstLine="562"/>
              <w:contextualSpacing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</w:p>
        </w:tc>
        <w:tc>
          <w:tcPr>
            <w:tcW w:w="6507" w:type="dxa"/>
          </w:tcPr>
          <w:p>
            <w:pPr>
              <w:pStyle w:val="a4"/>
              <w:numPr>
                <w:numId w:val="7"/>
                <w:ilvl w:val="0"/>
              </w:numPr>
              <w:ind w:left="0" w:firstLine="357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Договор, предусмотренный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ч. 3 ст. 8 Федерального закона от 08.02.1998 №  14-ФЗ «Об обществах с ограниченной ответственностью»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заключается в письменной форме путем составления одного документа, подписанн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ого сторонами.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Участники общества, заключившие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вышеупомянутый договор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обязаны уведомить общество о факте его заключения не позднее 15 дней со дня его заключения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По соглашению сторон такого договора уведомление обществу может быть направлено одной из его сторон. </w:t>
            </w:r>
          </w:p>
          <w:p>
            <w:pPr>
              <w:pStyle w:val="a4"/>
              <w:numPr>
                <w:numId w:val="7"/>
                <w:ilvl w:val="0"/>
              </w:numPr>
              <w:ind w:left="0" w:firstLine="357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отсутствия уведомления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либо иной организационно-правовой формы заявителя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составе заявки должен быть представлен документ, содержащий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пояснения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невозможности представления указанных сведений.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5</w:t>
            </w:r>
          </w:p>
        </w:tc>
        <w:tc>
          <w:tcPr>
            <w:tcW w:w="3403" w:type="dxa"/>
          </w:tcPr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заключенных договорах, иных правоустанавливающих документах на дату направления заявки, условия которых наделяют (наделяли) контролирующих лиц, находящихся под контролем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лиц, правом или полномочием определять решения, принимаемые заявителем, в том числе условия осуществления таким заявителем своей предпринимательской деятельности (в случае их наличия)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(пп. «д» п. 5 Правил).</w:t>
            </w:r>
          </w:p>
        </w:tc>
        <w:tc>
          <w:tcPr>
            <w:tcW w:w="4548" w:type="dxa"/>
          </w:tcPr>
          <w:p>
            <w:pPr>
              <w:ind w:firstLine="45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</w:p>
        </w:tc>
        <w:tc>
          <w:tcPr>
            <w:tcW w:w="6507" w:type="dxa"/>
          </w:tcPr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отсутствия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заключенных договор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иных правоустанавливающих документ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составе заявки должен быть представлен документ, содержащий пояснения о невозможности представления указанных сведений.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6</w:t>
            </w:r>
          </w:p>
        </w:tc>
        <w:tc>
          <w:tcPr>
            <w:tcW w:w="3403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Описание границ участка недр, а также указание его площади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пп. «е» п. 5 Правил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).</w:t>
            </w:r>
          </w:p>
        </w:tc>
        <w:tc>
          <w:tcPr>
            <w:tcW w:w="4548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</w:p>
          <w:p>
            <w:pPr>
              <w:ind w:firstLine="45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Требования к установлению границ участка недр предусмотрены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Положением об установлении и изменении границ участков недр, предоставленных в пользование, утвержденным постановлением Правительства Российской Федерации от 03.05.2012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429.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7" w:type="dxa"/>
          </w:tcPr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Описание границ участка недр должно содержать указание верхней и нижней границы участка недр.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писание границ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должно быть четким и понятным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 целью последующего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включения в состав лицензии на пользование недрами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положительного решения по заявке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Границы участка недр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должны соответствовать ранее предоставленному в пользование участку недр и не включать иные части недр, не предоставленные в пользование на основании разрешительных документов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Границы участка недр должны быть обоснованы геологической информацией об испрашиваемом участке недр.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7</w:t>
            </w:r>
          </w:p>
        </w:tc>
        <w:tc>
          <w:tcPr>
            <w:tcW w:w="3403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Карта-схема участка недр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пп. «ж» п. 5 Правил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).</w:t>
            </w:r>
          </w:p>
        </w:tc>
        <w:tc>
          <w:tcPr>
            <w:tcW w:w="4548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Карта-схема должна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быть представлен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в виде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отдельн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ind w:firstLine="45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Карта-схема участка недр должна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содержать:</w:t>
            </w:r>
          </w:p>
          <w:p>
            <w:pPr>
              <w:ind w:firstLine="45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границы участка недр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</w:p>
          <w:p>
            <w:pPr>
              <w:ind w:firstLine="45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географические координаты угловых точек границ участков недр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геодезической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системе координат 2011 года (ГСК-2011)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).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7" w:type="dxa"/>
          </w:tcPr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Карта-схема участка недр должна содержать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легенду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а также координаты участка недр.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В случае затруднений при переводе координат участка недр в ГСК-2011 необходимо обращаться в ФБУ «ТФГИ по Южному федеральному округу».</w:t>
            </w:r>
          </w:p>
          <w:p>
            <w:pPr>
              <w:ind w:firstLine="3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Представлению подлежат также разрезы по участку недр, содержащие описание границ участка недр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8</w:t>
            </w:r>
          </w:p>
        </w:tc>
        <w:tc>
          <w:tcPr>
            <w:tcW w:w="3403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выгодоприобретателях, бенефициарных владельцах и контролирующих лицах иностранных юридических лиц, иностранных организаций, не являющихся юридическими лицами, осуществляющих контроль над заявителем, в соответствии с Правилами представления иностранными юридическими лицами, иностранными организациями, не являющимися юридическими лицами, и находящимися под их контролем организациями в федеральный орган исполнительной власти, уполномоченный на выполнение функций по контролю за осуществлением иностранных инвестиций в Российской Федерации, информации о своих выгодоприобретателях, бенефициарных владельцах и контролирующих лицах, утвержденными постановлением Правительства Российской Федерации от 01.12.2018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1456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(далее – Правила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1456)</w:t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(пп. «з» п. 5 Правил).</w:t>
            </w:r>
          </w:p>
        </w:tc>
        <w:tc>
          <w:tcPr>
            <w:tcW w:w="4548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</w:p>
        </w:tc>
        <w:tc>
          <w:tcPr>
            <w:tcW w:w="6507" w:type="dxa"/>
          </w:tcPr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соответствии с п. 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Правила № 1456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ведения о выгодоприобретателе, бенефициарном владельце и контролирующем лице включают в себя: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полное и (при наличии) сокращенное наименования, место государственной регистрации, место нахождения и адрес - для юридического лица, фамилию, имя и (при наличии) отчество, место жительства - для физического лица, а также контактный телефон и (при наличии) адрес электронный почты;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гражданстве бенефициарного владельца и контролирующего лица - для физического лица, в том числе сведения о наличии у гражданина Российской Федерации иного гражданства, а также о том,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сборах;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в) идентификационный номер налогоплательщика или код иностранной организации, не являющейся юридическим лицом;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г) основные виды деятельности выгодоприобретателя, бенефициарного владельца и контролирующего лица;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д) реквизиты документов: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подтверждающих государственную регистрацию выгодоприобретателя и контролирующего лица - юридического лица или выгодоприобретателя, бенефициарного владельца, контролирующего лица - физического лица в качестве индивидуального предпринимателя в соответствии с законодательством соответствующего государства либо подтверждающих факт создания (учреждения) выгодоприобретателя, контролирующего лица - юридического лица, иностранной организации, не являющейся юридическим лицом; </w:t>
            </w:r>
          </w:p>
          <w:p>
            <w:pPr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удостоверяющих личность выгодоприобретателя, бенефициарного владельца и контролирующего лица - физического лица. 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об основаниях отнесения лица к выгодоприобретателю, бенефициарному владельцу и контролирующему лицу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предусмотрены п. 7 Правил № 1456.</w:t>
            </w:r>
          </w:p>
          <w:p>
            <w:pPr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отсутствия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испрашиваемых сведений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составе заявки должен быть представлен документ, содержащий пояснения о невозможности представления указанных сведений.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61"/>
        </w:trPr>
        <w:tc>
          <w:tcPr>
            <w:tcW w:w="1135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Прил. 9</w:t>
            </w:r>
          </w:p>
        </w:tc>
        <w:tc>
          <w:tcPr>
            <w:tcW w:w="3403" w:type="dxa"/>
          </w:tcPr>
          <w:p>
            <w:pPr>
              <w:ind w:firstLine="453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об органах управления и контроля заявителя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(пп. «и» п. 5 Правил).</w:t>
            </w:r>
          </w:p>
        </w:tc>
        <w:tc>
          <w:tcPr>
            <w:tcW w:w="4548" w:type="dxa"/>
          </w:tcPr>
          <w:p>
            <w:pPr>
              <w:ind w:firstLine="504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Должен быть представлен отдельный документ, содержащий указанные сведения.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ind w:firstLine="504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нем указываются фамили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отчеств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(при наличии), дат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рождения, мест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жительства, индивидуальн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номер налогоплательщик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информаци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гражданстве Российской Федерации, наличии (отсутствии) иного гражданства, налоговом резидентстве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  <w:p>
            <w:pPr>
              <w:ind w:firstLine="50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документу должны быть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приложены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документ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подтверждающ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указанные сведения.</w:t>
            </w:r>
          </w:p>
        </w:tc>
        <w:tc>
          <w:tcPr>
            <w:tcW w:w="6507" w:type="dxa"/>
          </w:tcPr>
          <w:p>
            <w:pPr>
              <w:pStyle w:val="a4"/>
              <w:numPr>
                <w:numId w:val="8"/>
                <w:ilvl w:val="0"/>
              </w:numPr>
              <w:ind w:left="0" w:firstLine="357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окумент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прилагаемыми к сведениям об органах управления и контроля заявителя, могут являться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ind w:firstLine="357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копи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 сведениями о дате рождения,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адресе регистрации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ind w:firstLine="357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копия ИНН;</w:t>
            </w:r>
          </w:p>
          <w:p>
            <w:pPr>
              <w:ind w:firstLine="357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документ, подтверждающий наличи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(отсутстви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 иного гражданств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выданный МВД России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;</w:t>
            </w:r>
          </w:p>
          <w:p>
            <w:pPr>
              <w:ind w:firstLine="357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документ, подтверждающий статус налогового резидента РФ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(возможно получить через электронный сервис ФНС 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 xml:space="preserve">https://www.nalog.gov.ru/rn77/fl/interest/dual_nationality/status/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).</w:t>
            </w:r>
          </w:p>
          <w:p>
            <w:pPr>
              <w:ind w:firstLine="45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невозможности представления сведений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МВД России и ФНС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необходимо включение в состав заявки справки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-пояснения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подписанной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лицом, входящим в орган управления и контроля заявителя, о наличии (отсутствии) иного гражданства и наличия налогового резидентства РФ.</w:t>
            </w:r>
          </w:p>
          <w:p>
            <w:pPr>
              <w:ind w:firstLine="45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Указанная справка подлежит представляю в отношении каждого лица в отдельности.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  <w:sect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>
      <w:pPr>
        <w:widowControl w:val="off"/>
        <w:spacing w:after="0" w:line="240" w:lineRule="auto"/>
        <w:ind w:left="709"/>
        <w:jc w:val="right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  <w:t xml:space="preserve">Приложение № 2</w:t>
      </w:r>
    </w:p>
    <w:p>
      <w:pPr>
        <w:widowControl w:val="off"/>
        <w:spacing w:after="0" w:line="240" w:lineRule="auto"/>
        <w:ind w:left="709"/>
        <w:jc w:val="right"/>
        <w:rPr>
          <w:rFonts w:ascii="Times New Roman" w:hAnsi="Times New Roman" w:eastAsia="MS Mincho" w:cs="Times New Roman"/>
          <w:color w:val="000000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МАКЕТ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заявки для юридических лиц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права пользования участком недр, расположенным на территории 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[Донецкой Народной Республики, Луганской Народной Республики, Запорожской области и Херсонской области]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олное и (или)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заявителя: 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дрес в пределах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 заявителя, контактн</w:t>
      </w:r>
      <w:r>
        <w:rPr>
          <w:rFonts w:ascii="Times New Roman" w:hAnsi="Times New Roman" w:cs="Times New Roman"/>
          <w:sz w:val="28"/>
          <w:szCs w:val="28"/>
        </w:rPr>
        <w:t xml:space="preserve">ый номер телефона: 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мер и дат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документов: 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анные о целевом назначении работ, связанны</w:t>
      </w:r>
      <w:r>
        <w:rPr>
          <w:rFonts w:ascii="Times New Roman" w:hAnsi="Times New Roman" w:cs="Times New Roman"/>
          <w:sz w:val="28"/>
          <w:szCs w:val="28"/>
        </w:rPr>
        <w:t xml:space="preserve">х с пользованием участками недр: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 w:clear="all"/>
      </w: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МАКЕТ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заявки для индивидуальных предпринимателей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права пользования участком недр, расположенным на территории 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[Донецкой Народной Республики, Луганской Народной Республики, Запорожской области и Херсонской области]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</w:t>
      </w:r>
      <w:r>
        <w:rPr>
          <w:rFonts w:ascii="Times New Roman" w:hAnsi="Times New Roman" w:cs="Times New Roman"/>
          <w:sz w:val="28"/>
          <w:szCs w:val="28"/>
        </w:rPr>
        <w:t xml:space="preserve"> заявителя, 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: 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дрес по месту пребывания либо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: 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 заявителя, контактн</w:t>
      </w:r>
      <w:r>
        <w:rPr>
          <w:rFonts w:ascii="Times New Roman" w:hAnsi="Times New Roman" w:cs="Times New Roman"/>
          <w:sz w:val="28"/>
          <w:szCs w:val="28"/>
        </w:rPr>
        <w:t xml:space="preserve">ый номер: 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ОГРНИП: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мер и дат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документов: 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анные о целевом назначении работ, связанны</w:t>
      </w:r>
      <w:r>
        <w:rPr>
          <w:rFonts w:ascii="Times New Roman" w:hAnsi="Times New Roman" w:cs="Times New Roman"/>
          <w:sz w:val="28"/>
          <w:szCs w:val="28"/>
        </w:rPr>
        <w:t xml:space="preserve">х с пользованием участками недр: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: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еречень лиц, входящих в одну с заявителем группу лиц</w:t>
      </w:r>
      <w:r>
        <w:rPr>
          <w:rFonts w:ascii="Times New Roman" w:hAnsi="Times New Roman" w:cs="Times New Roman"/>
          <w:sz w:val="28"/>
          <w:szCs w:val="28"/>
        </w:rPr>
        <w:t xml:space="preserve"> (пп. «а» п. 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еречень лиц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которым принадлежит (принадлежало) право прямо или косвенно распоряжаться более чем 5 процентами долей (акций) в уставном капитале заявителя на дату направления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(абз. 2 пп. «б» п. 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еречень лиц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или косвенно контролирующих заявителя на дату направления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приложений заявлений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контролирующих лиц и их бенефициарных владельцев</w:t>
      </w:r>
      <w:r>
        <w:rPr>
          <w:rFonts w:ascii="Times New Roman" w:hAnsi="Times New Roman" w:cs="Times New Roman"/>
          <w:sz w:val="28"/>
          <w:szCs w:val="28"/>
        </w:rPr>
        <w:t xml:space="preserve"> (абз. 3 пп. «б» п. 5 Правил)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временной передаче учредителем (участником) заявителя права распоряжения долями (акциями) заявителя иному лицу</w:t>
      </w:r>
      <w:r>
        <w:rPr>
          <w:rFonts w:ascii="Times New Roman" w:hAnsi="Times New Roman" w:cs="Times New Roman"/>
          <w:sz w:val="28"/>
          <w:szCs w:val="28"/>
        </w:rPr>
        <w:t xml:space="preserve"> (пп. «в» п. 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поступлении уведомления заявителю 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» (пп. «г» п. 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договорах, иных правоустанавливающих документах на дату направления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(пп. «д» п. 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писание границ участка недр</w:t>
      </w:r>
      <w:r>
        <w:rPr>
          <w:rFonts w:ascii="Times New Roman" w:hAnsi="Times New Roman" w:cs="Times New Roman"/>
          <w:sz w:val="28"/>
          <w:szCs w:val="28"/>
        </w:rPr>
        <w:t xml:space="preserve"> (пп. «е» п. 5 Правил).</w:t>
      </w:r>
    </w:p>
    <w:p>
      <w:pPr>
        <w:pStyle w:val="a4"/>
        <w:numPr>
          <w:numId w:val="1"/>
          <w:ilvl w:val="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арта-схема участка недр</w:t>
      </w:r>
      <w:r>
        <w:rPr>
          <w:rFonts w:ascii="Times New Roman" w:hAnsi="Times New Roman" w:cs="Times New Roman"/>
          <w:sz w:val="28"/>
          <w:szCs w:val="28"/>
        </w:rPr>
        <w:t xml:space="preserve"> (пп. «ж» п. 5 Правил).</w:t>
      </w:r>
    </w:p>
    <w:p>
      <w:pPr>
        <w:pStyle w:val="a4"/>
        <w:numPr>
          <w:numId w:val="1"/>
          <w:ilvl w:val="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ведения о выгодоприобретателях, бенефициарных владельцах и контролирующих лицах иностранных юридических лиц, иностранных организаций, не являющихся юридическими лицами, осуществляющих контроль над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(пп. «з» п. 5 Правил).</w:t>
      </w:r>
    </w:p>
    <w:p>
      <w:pPr>
        <w:pStyle w:val="a4"/>
        <w:numPr>
          <w:numId w:val="1"/>
          <w:ilvl w:val="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органах управления и контроля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подтверждающие данные сведения (пп. «и» п. 5 Правил).</w:t>
      </w:r>
    </w:p>
    <w:p>
      <w:pPr>
        <w:pStyle w:val="a4"/>
        <w:numPr>
          <w:numId w:val="1"/>
          <w:ilvl w:val="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[Иные приложения по инициативе заявителя]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sect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Mincho">
    <w:panose1 w:val="02020503050405090304"/>
  </w:font>
  <w:font w:name="Times New Roman">
    <w:panose1 w:val="02020603050405020304"/>
  </w:font>
  <w:font w:name="Segoe UI">
    <w:panose1 w:val="020B05020405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982205748"/>
      <w:docPartObj>
        <w:docPartGallery w:val="Page Numbers (Bottom of Page)"/>
        <w:docPartUnique w:val="true"/>
      </w:docPartObj>
    </w:sdtPr>
    <w:sdtContent>
      <w:p>
        <w:pPr>
          <w:pStyle w:val="a7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302EDF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398" w:hanging="360"/>
      </w:pPr>
    </w:lvl>
    <w:lvl w:ilvl="2" w:tentative="1" w:tplc="0419001B">
      <w:start w:val="1"/>
      <w:numFmt w:val="lowerRoman"/>
      <w:lvlText w:val="%3."/>
      <w:lvlJc w:val="right"/>
      <w:pPr>
        <w:ind w:left="2118" w:hanging="180"/>
      </w:pPr>
    </w:lvl>
    <w:lvl w:ilvl="3" w:tentative="1" w:tplc="0419000F">
      <w:start w:val="1"/>
      <w:numFmt w:val="decimal"/>
      <w:lvlText w:val="%4."/>
      <w:lvlJc w:val="left"/>
      <w:pPr>
        <w:ind w:left="2838" w:hanging="360"/>
      </w:pPr>
    </w:lvl>
    <w:lvl w:ilvl="4" w:tentative="1" w:tplc="04190019">
      <w:start w:val="1"/>
      <w:numFmt w:val="lowerLetter"/>
      <w:lvlText w:val="%5."/>
      <w:lvlJc w:val="left"/>
      <w:pPr>
        <w:ind w:left="3558" w:hanging="360"/>
      </w:pPr>
    </w:lvl>
    <w:lvl w:ilvl="5" w:tentative="1" w:tplc="0419001B">
      <w:start w:val="1"/>
      <w:numFmt w:val="lowerRoman"/>
      <w:lvlText w:val="%6."/>
      <w:lvlJc w:val="right"/>
      <w:pPr>
        <w:ind w:left="4278" w:hanging="180"/>
      </w:pPr>
    </w:lvl>
    <w:lvl w:ilvl="6" w:tentative="1" w:tplc="0419000F">
      <w:start w:val="1"/>
      <w:numFmt w:val="decimal"/>
      <w:lvlText w:val="%7."/>
      <w:lvlJc w:val="left"/>
      <w:pPr>
        <w:ind w:left="4998" w:hanging="360"/>
      </w:pPr>
    </w:lvl>
    <w:lvl w:ilvl="7" w:tentative="1" w:tplc="04190019">
      <w:start w:val="1"/>
      <w:numFmt w:val="lowerLetter"/>
      <w:lvlText w:val="%8."/>
      <w:lvlJc w:val="left"/>
      <w:pPr>
        <w:ind w:left="5718" w:hanging="360"/>
      </w:pPr>
    </w:lvl>
    <w:lvl w:ilvl="8" w:tentative="1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multiLevelType w:val="hybridMultilevel"/>
    <w:lvl w:ilvl="0" w:tplc="2064F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BE74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2312DE3A">
      <w:start w:val="1"/>
      <w:numFmt w:val="decimal"/>
      <w:lvlText w:val="%1)"/>
      <w:lvlJc w:val="left"/>
      <w:pPr>
        <w:ind w:left="678" w:hanging="360"/>
      </w:pPr>
      <w:rPr>
        <w:rFonts w:hint="default"/>
        <w:u w:val="none"/>
      </w:rPr>
    </w:lvl>
    <w:lvl w:ilvl="1" w:tentative="1" w:tplc="04190019">
      <w:start w:val="1"/>
      <w:numFmt w:val="lowerLetter"/>
      <w:lvlText w:val="%2."/>
      <w:lvlJc w:val="left"/>
      <w:pPr>
        <w:ind w:left="1398" w:hanging="360"/>
      </w:pPr>
    </w:lvl>
    <w:lvl w:ilvl="2" w:tentative="1" w:tplc="0419001B">
      <w:start w:val="1"/>
      <w:numFmt w:val="lowerRoman"/>
      <w:lvlText w:val="%3."/>
      <w:lvlJc w:val="right"/>
      <w:pPr>
        <w:ind w:left="2118" w:hanging="180"/>
      </w:pPr>
    </w:lvl>
    <w:lvl w:ilvl="3" w:tentative="1" w:tplc="0419000F">
      <w:start w:val="1"/>
      <w:numFmt w:val="decimal"/>
      <w:lvlText w:val="%4."/>
      <w:lvlJc w:val="left"/>
      <w:pPr>
        <w:ind w:left="2838" w:hanging="360"/>
      </w:pPr>
    </w:lvl>
    <w:lvl w:ilvl="4" w:tentative="1" w:tplc="04190019">
      <w:start w:val="1"/>
      <w:numFmt w:val="lowerLetter"/>
      <w:lvlText w:val="%5."/>
      <w:lvlJc w:val="left"/>
      <w:pPr>
        <w:ind w:left="3558" w:hanging="360"/>
      </w:pPr>
    </w:lvl>
    <w:lvl w:ilvl="5" w:tentative="1" w:tplc="0419001B">
      <w:start w:val="1"/>
      <w:numFmt w:val="lowerRoman"/>
      <w:lvlText w:val="%6."/>
      <w:lvlJc w:val="right"/>
      <w:pPr>
        <w:ind w:left="4278" w:hanging="180"/>
      </w:pPr>
    </w:lvl>
    <w:lvl w:ilvl="6" w:tentative="1" w:tplc="0419000F">
      <w:start w:val="1"/>
      <w:numFmt w:val="decimal"/>
      <w:lvlText w:val="%7."/>
      <w:lvlJc w:val="left"/>
      <w:pPr>
        <w:ind w:left="4998" w:hanging="360"/>
      </w:pPr>
    </w:lvl>
    <w:lvl w:ilvl="7" w:tentative="1" w:tplc="04190019">
      <w:start w:val="1"/>
      <w:numFmt w:val="lowerLetter"/>
      <w:lvlText w:val="%8."/>
      <w:lvlJc w:val="left"/>
      <w:pPr>
        <w:ind w:left="5718" w:hanging="360"/>
      </w:pPr>
    </w:lvl>
    <w:lvl w:ilvl="8" w:tentative="1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9CA2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plc="122ECB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398" w:hanging="360"/>
      </w:pPr>
    </w:lvl>
    <w:lvl w:ilvl="2" w:tentative="1" w:tplc="0419001B">
      <w:start w:val="1"/>
      <w:numFmt w:val="lowerRoman"/>
      <w:lvlText w:val="%3."/>
      <w:lvlJc w:val="right"/>
      <w:pPr>
        <w:ind w:left="2118" w:hanging="180"/>
      </w:pPr>
    </w:lvl>
    <w:lvl w:ilvl="3" w:tentative="1" w:tplc="0419000F">
      <w:start w:val="1"/>
      <w:numFmt w:val="decimal"/>
      <w:lvlText w:val="%4."/>
      <w:lvlJc w:val="left"/>
      <w:pPr>
        <w:ind w:left="2838" w:hanging="360"/>
      </w:pPr>
    </w:lvl>
    <w:lvl w:ilvl="4" w:tentative="1" w:tplc="04190019">
      <w:start w:val="1"/>
      <w:numFmt w:val="lowerLetter"/>
      <w:lvlText w:val="%5."/>
      <w:lvlJc w:val="left"/>
      <w:pPr>
        <w:ind w:left="3558" w:hanging="360"/>
      </w:pPr>
    </w:lvl>
    <w:lvl w:ilvl="5" w:tentative="1" w:tplc="0419001B">
      <w:start w:val="1"/>
      <w:numFmt w:val="lowerRoman"/>
      <w:lvlText w:val="%6."/>
      <w:lvlJc w:val="right"/>
      <w:pPr>
        <w:ind w:left="4278" w:hanging="180"/>
      </w:pPr>
    </w:lvl>
    <w:lvl w:ilvl="6" w:tentative="1" w:tplc="0419000F">
      <w:start w:val="1"/>
      <w:numFmt w:val="decimal"/>
      <w:lvlText w:val="%7."/>
      <w:lvlJc w:val="left"/>
      <w:pPr>
        <w:ind w:left="4998" w:hanging="360"/>
      </w:pPr>
    </w:lvl>
    <w:lvl w:ilvl="7" w:tentative="1" w:tplc="04190019">
      <w:start w:val="1"/>
      <w:numFmt w:val="lowerLetter"/>
      <w:lvlText w:val="%8."/>
      <w:lvlJc w:val="left"/>
      <w:pPr>
        <w:ind w:left="5718" w:hanging="360"/>
      </w:pPr>
    </w:lvl>
    <w:lvl w:ilvl="8" w:tentative="1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1" w:customStyle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styleId="ae" w:customStyle="1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nalog.gov.ru/rn77/fl/interest/dual_nationality/statu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25EB-17D3-4C84-B382-2A2F5FD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21387</Characters>
  <CharactersWithSpaces>25089</CharactersWithSpaces>
  <Company/>
  <DocSecurity>0</DocSecurity>
  <HyperlinksChanged>false</HyperlinksChanged>
  <Lines>178</Lines>
  <LinksUpToDate>false</LinksUpToDate>
  <Pages>1</Pages>
  <Paragraphs>50</Paragraphs>
  <ScaleCrop>false</ScaleCrop>
  <SharedDoc>false</SharedDoc>
  <Template>Normal</Template>
  <TotalTime>22</TotalTime>
  <Words>3752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Бесланеева Марьят Сергеевна</dc:creator>
  <cp:keywords/>
  <dc:description/>
  <cp:lastModifiedBy>Бесланеева Марьят Сергеевна</cp:lastModifiedBy>
  <cp:revision>3</cp:revision>
  <dcterms:created xsi:type="dcterms:W3CDTF">2023-09-06T15:18:00Z</dcterms:created>
  <dcterms:modified xsi:type="dcterms:W3CDTF">2023-09-06T15:28:00Z</dcterms:modified>
</cp:coreProperties>
</file>